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C3F6C" w14:textId="77777777" w:rsidR="000771EC" w:rsidRPr="00A17460" w:rsidRDefault="000771EC" w:rsidP="00593C7D">
      <w:pPr>
        <w:rPr>
          <w:color w:val="000000"/>
          <w:sz w:val="22"/>
          <w:szCs w:val="22"/>
          <w:lang w:val="uk-UA"/>
        </w:rPr>
      </w:pPr>
    </w:p>
    <w:p w14:paraId="74E9FF2D" w14:textId="77777777" w:rsidR="000771EC" w:rsidRPr="000771EC" w:rsidRDefault="000771EC" w:rsidP="00593C7D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4FEF6598" w14:textId="77777777" w:rsidR="000771EC" w:rsidRPr="00A17460" w:rsidRDefault="000771EC" w:rsidP="00593C7D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2E1968FD" w14:textId="25E84E33" w:rsidR="000771EC" w:rsidRPr="00DD2763" w:rsidRDefault="00A17460" w:rsidP="00DD2763">
      <w:pPr>
        <w:shd w:val="clear" w:color="auto" w:fill="FFFFFF"/>
        <w:jc w:val="center"/>
        <w:rPr>
          <w:b/>
          <w:sz w:val="22"/>
          <w:szCs w:val="22"/>
          <w:lang w:val="ru-UA"/>
        </w:rPr>
      </w:pPr>
      <w:r w:rsidRPr="00A17460">
        <w:rPr>
          <w:b/>
          <w:sz w:val="22"/>
          <w:szCs w:val="22"/>
          <w:lang w:val="uk-UA"/>
        </w:rPr>
        <w:t xml:space="preserve">  для</w:t>
      </w:r>
      <w:r w:rsidR="000771EC" w:rsidRPr="00A17460">
        <w:rPr>
          <w:b/>
          <w:sz w:val="22"/>
          <w:szCs w:val="22"/>
          <w:lang w:val="uk-UA"/>
        </w:rPr>
        <w:t xml:space="preserve"> </w:t>
      </w:r>
      <w:r w:rsidR="00E12FF3">
        <w:rPr>
          <w:b/>
          <w:sz w:val="22"/>
          <w:szCs w:val="22"/>
          <w:lang w:val="uk-UA"/>
        </w:rPr>
        <w:t xml:space="preserve">експертної оцінки </w:t>
      </w:r>
      <w:r w:rsidR="00015DAF">
        <w:rPr>
          <w:b/>
          <w:sz w:val="22"/>
          <w:szCs w:val="22"/>
          <w:lang w:val="uk-UA"/>
        </w:rPr>
        <w:t xml:space="preserve">нежитлової будівлі </w:t>
      </w:r>
      <w:r w:rsidR="00C977C8">
        <w:rPr>
          <w:b/>
          <w:sz w:val="22"/>
          <w:szCs w:val="22"/>
          <w:lang w:val="uk-UA"/>
        </w:rPr>
        <w:t xml:space="preserve"> розташовано</w:t>
      </w:r>
      <w:r w:rsidR="00015DAF">
        <w:rPr>
          <w:b/>
          <w:sz w:val="22"/>
          <w:szCs w:val="22"/>
          <w:lang w:val="uk-UA"/>
        </w:rPr>
        <w:t>ї</w:t>
      </w:r>
      <w:r w:rsidR="00C977C8">
        <w:rPr>
          <w:b/>
          <w:sz w:val="22"/>
          <w:szCs w:val="22"/>
          <w:lang w:val="uk-UA"/>
        </w:rPr>
        <w:t xml:space="preserve"> по </w:t>
      </w:r>
      <w:r w:rsidR="00262C70">
        <w:rPr>
          <w:b/>
          <w:sz w:val="22"/>
          <w:szCs w:val="22"/>
          <w:lang w:val="uk-UA"/>
        </w:rPr>
        <w:t>вул.</w:t>
      </w:r>
      <w:r w:rsidR="00B7540D">
        <w:rPr>
          <w:b/>
          <w:sz w:val="22"/>
          <w:szCs w:val="22"/>
          <w:lang w:val="ru-UA"/>
        </w:rPr>
        <w:t xml:space="preserve"> Соборна, 151а</w:t>
      </w:r>
      <w:r w:rsidR="007B54C3">
        <w:rPr>
          <w:b/>
          <w:sz w:val="22"/>
          <w:szCs w:val="22"/>
          <w:lang w:val="uk-UA"/>
        </w:rPr>
        <w:t xml:space="preserve"> </w:t>
      </w:r>
      <w:r w:rsidR="00B7540D">
        <w:rPr>
          <w:b/>
          <w:sz w:val="22"/>
          <w:szCs w:val="22"/>
          <w:lang w:val="ru-UA"/>
        </w:rPr>
        <w:t xml:space="preserve"> у с. Кам</w:t>
      </w:r>
      <w:r w:rsidR="00B7540D">
        <w:rPr>
          <w:b/>
          <w:sz w:val="22"/>
          <w:szCs w:val="22"/>
          <w:lang w:val="uk-UA"/>
        </w:rPr>
        <w:t>’янка</w:t>
      </w:r>
      <w:r w:rsidR="00B7540D">
        <w:rPr>
          <w:b/>
          <w:sz w:val="22"/>
          <w:szCs w:val="22"/>
          <w:lang w:val="ru-UA"/>
        </w:rPr>
        <w:t xml:space="preserve"> Охтирського району Сумсько</w:t>
      </w:r>
      <w:r w:rsidR="00B7540D">
        <w:rPr>
          <w:b/>
          <w:sz w:val="22"/>
          <w:szCs w:val="22"/>
          <w:lang w:val="uk-UA"/>
        </w:rPr>
        <w:t>ї</w:t>
      </w:r>
      <w:r w:rsidR="00B7540D">
        <w:rPr>
          <w:b/>
          <w:sz w:val="22"/>
          <w:szCs w:val="22"/>
          <w:lang w:val="ru-UA"/>
        </w:rPr>
        <w:t xml:space="preserve"> област</w:t>
      </w:r>
      <w:r w:rsidR="00B7540D">
        <w:rPr>
          <w:b/>
          <w:sz w:val="22"/>
          <w:szCs w:val="22"/>
          <w:lang w:val="uk-UA"/>
        </w:rPr>
        <w:t>і</w:t>
      </w:r>
      <w:r w:rsidR="00B7540D">
        <w:rPr>
          <w:b/>
          <w:sz w:val="22"/>
          <w:szCs w:val="22"/>
          <w:lang w:val="ru-UA"/>
        </w:rPr>
        <w:t xml:space="preserve"> </w:t>
      </w:r>
      <w:r w:rsidR="005D3D94">
        <w:rPr>
          <w:b/>
          <w:sz w:val="22"/>
          <w:szCs w:val="22"/>
          <w:lang w:val="uk-UA"/>
        </w:rPr>
        <w:t xml:space="preserve"> 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213990" w:rsidRPr="00A17460" w14:paraId="19933C1C" w14:textId="77777777" w:rsidTr="00E12FF3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FDD738D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DA6A033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C5C6BF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5C4D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27DEA43" w14:textId="77777777" w:rsidR="000771EC" w:rsidRPr="000771EC" w:rsidRDefault="000771EC" w:rsidP="00593C7D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7390EAF9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E12FF3" w:rsidRPr="00A17460" w14:paraId="3565F2A1" w14:textId="77777777" w:rsidTr="00E12FF3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5B625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D97737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BF67A6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4F83016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40597B4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DC4BD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755604D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3A8F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776841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8B7521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D3E4F9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040CA6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E12FF3" w:rsidRPr="00A17460" w14:paraId="25AB118C" w14:textId="77777777" w:rsidTr="00E12FF3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9D86A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9030C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AB123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E681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EFBF9B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9678A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9F3BE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C96DA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81432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0AF985E3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205B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79F23CC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12B5C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D537B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C8255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CCEE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E12FF3" w:rsidRPr="00A17460" w14:paraId="5CD3487B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CCEB3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8A88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14F23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9D1F4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5542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3993CB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E7746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8E92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C59E2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10E9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AA2DA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56F81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B35E9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F84B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E12FF3" w:rsidRPr="00A17460" w14:paraId="140135F2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90750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E60E98" w14:textId="2D2FA5FB" w:rsidR="000771EC" w:rsidRPr="00DD2763" w:rsidRDefault="008B1C39" w:rsidP="00593C7D">
            <w:pPr>
              <w:rPr>
                <w:rFonts w:eastAsia="Calibri"/>
                <w:color w:val="000000"/>
                <w:sz w:val="22"/>
                <w:szCs w:val="22"/>
                <w:lang w:val="ru-UA" w:eastAsia="uk-UA"/>
              </w:rPr>
            </w:pPr>
            <w:r>
              <w:rPr>
                <w:sz w:val="22"/>
                <w:szCs w:val="22"/>
                <w:lang w:val="uk-UA"/>
              </w:rPr>
              <w:t>ФОП</w:t>
            </w:r>
            <w:r w:rsidR="003006AD">
              <w:rPr>
                <w:sz w:val="22"/>
                <w:szCs w:val="22"/>
                <w:lang w:val="uk-UA"/>
              </w:rPr>
              <w:t xml:space="preserve"> </w:t>
            </w:r>
            <w:r w:rsidR="00DD2763">
              <w:rPr>
                <w:sz w:val="22"/>
                <w:szCs w:val="22"/>
                <w:lang w:val="ru-UA"/>
              </w:rPr>
              <w:t>Ол</w:t>
            </w:r>
            <w:r w:rsidR="00DD2763">
              <w:rPr>
                <w:sz w:val="22"/>
                <w:szCs w:val="22"/>
                <w:lang w:val="uk-UA"/>
              </w:rPr>
              <w:t>і</w:t>
            </w:r>
            <w:r w:rsidR="00DD2763">
              <w:rPr>
                <w:sz w:val="22"/>
                <w:szCs w:val="22"/>
                <w:lang w:val="ru-UA"/>
              </w:rPr>
              <w:t>йник О.О.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AA587" w14:textId="0E615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sz w:val="22"/>
                <w:szCs w:val="22"/>
                <w:lang w:val="uk-UA"/>
              </w:rPr>
              <w:t xml:space="preserve">МФ </w:t>
            </w:r>
            <w:r w:rsidR="00DD2763">
              <w:rPr>
                <w:sz w:val="22"/>
                <w:szCs w:val="22"/>
                <w:lang w:val="uk-UA"/>
              </w:rPr>
              <w:t>№  8211</w:t>
            </w:r>
            <w:r w:rsidR="003F5CFF" w:rsidRPr="00A17460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05.10.2013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3CEA62" w14:textId="115FB16A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500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8903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C23785" w14:textId="221AB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D8CE78" w14:textId="4414CFC0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213990">
              <w:rPr>
                <w:rFonts w:eastAsia="Calibri"/>
                <w:sz w:val="22"/>
                <w:szCs w:val="22"/>
                <w:lang w:val="uk-UA" w:eastAsia="uk-UA"/>
              </w:rPr>
              <w:t>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75B3A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7AC4C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DB9A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C312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DB77E9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93EE8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C2604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3366F3" w14:textId="4A5D6CF1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  <w:tr w:rsidR="00E12FF3" w:rsidRPr="00E12FF3" w14:paraId="5130236D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7F4B3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74A589" w14:textId="59AF2A8D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ТОВ УКРБІЗНЕС КАПІТАЛ</w:t>
            </w:r>
            <w:r w:rsidR="00E12FF3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FF79F3" w14:textId="7C2FF7F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sz w:val="22"/>
                <w:szCs w:val="22"/>
                <w:lang w:val="uk-UA"/>
              </w:rPr>
              <w:t xml:space="preserve">МФ </w:t>
            </w:r>
            <w:r w:rsidR="00E12FF3">
              <w:rPr>
                <w:sz w:val="22"/>
                <w:szCs w:val="22"/>
                <w:lang w:val="uk-UA"/>
              </w:rPr>
              <w:t xml:space="preserve">№ </w:t>
            </w:r>
            <w:r w:rsidR="00DD2763">
              <w:rPr>
                <w:sz w:val="22"/>
                <w:szCs w:val="22"/>
                <w:lang w:val="uk-UA"/>
              </w:rPr>
              <w:t>7351</w:t>
            </w:r>
            <w:r w:rsidR="00E12FF3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19.12.2009</w:t>
            </w:r>
            <w:r w:rsidR="0013666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F61872" w14:textId="0A343E39" w:rsidR="000771EC" w:rsidRPr="003006AD" w:rsidRDefault="00DD2763" w:rsidP="00593C7D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00</w:t>
            </w:r>
            <w:r w:rsidR="00B91A8B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14BDF4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C83E8F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3F5CFF"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14FD26" w14:textId="233EA12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03E6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68D3F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57AB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257C2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ADA909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3A85E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2FBB45" w14:textId="02F00485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55</w:t>
            </w:r>
          </w:p>
        </w:tc>
      </w:tr>
    </w:tbl>
    <w:p w14:paraId="3081DABB" w14:textId="77777777" w:rsidR="00015DAF" w:rsidRDefault="00015DAF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EBA9E12" w14:textId="1A6F0790" w:rsidR="00593C7D" w:rsidRDefault="00015DAF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Г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а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3ECBF2E0" w14:textId="5BCE2687" w:rsidR="000771EC" w:rsidRPr="000771EC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</w:t>
      </w:r>
      <w:r w:rsidR="00015DAF">
        <w:rPr>
          <w:rFonts w:eastAsia="Calibri"/>
          <w:color w:val="000000"/>
          <w:sz w:val="22"/>
          <w:szCs w:val="22"/>
          <w:lang w:val="uk-UA" w:eastAsia="uk-UA"/>
        </w:rPr>
        <w:t>Злепко В.А.</w:t>
      </w:r>
      <w:r w:rsidR="00015DA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13DC8549" w14:textId="77777777" w:rsidR="00015DAF" w:rsidRDefault="000771EC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</w:p>
    <w:p w14:paraId="24B74676" w14:textId="69AB8987" w:rsidR="00015DAF" w:rsidRDefault="00015DAF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</w:t>
      </w:r>
      <w:r w:rsidR="00F82EF2"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</w:t>
      </w:r>
      <w:r w:rsidR="007B54C3">
        <w:rPr>
          <w:rFonts w:eastAsia="Calibri"/>
          <w:color w:val="000000"/>
          <w:sz w:val="22"/>
          <w:szCs w:val="22"/>
          <w:lang w:val="uk-UA" w:eastAsia="uk-UA"/>
        </w:rPr>
        <w:t>___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  </w:t>
      </w:r>
    </w:p>
    <w:p w14:paraId="4C45D4A9" w14:textId="554EADED" w:rsidR="003C25EE" w:rsidRDefault="000771EC" w:rsidP="00E9578E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 w:rsidR="007B54C3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>_______</w:t>
      </w:r>
      <w:r w:rsidR="007B54C3">
        <w:rPr>
          <w:rFonts w:eastAsia="Calibri"/>
          <w:color w:val="000000"/>
          <w:sz w:val="22"/>
          <w:szCs w:val="22"/>
          <w:lang w:val="uk-UA" w:eastAsia="uk-UA"/>
        </w:rPr>
        <w:t>___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</w:t>
      </w:r>
    </w:p>
    <w:p w14:paraId="632198AA" w14:textId="4D1DC636" w:rsidR="003804B5" w:rsidRDefault="003804B5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Федорець Н.І. </w:t>
      </w:r>
      <w:r w:rsidR="003C25EE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 w:rsidR="007B54C3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>
        <w:rPr>
          <w:rFonts w:eastAsia="Calibri"/>
          <w:color w:val="000000"/>
          <w:sz w:val="22"/>
          <w:szCs w:val="22"/>
          <w:lang w:val="uk-UA" w:eastAsia="uk-UA"/>
        </w:rPr>
        <w:t>____</w:t>
      </w:r>
      <w:r w:rsidR="007B54C3">
        <w:rPr>
          <w:rFonts w:eastAsia="Calibri"/>
          <w:color w:val="000000"/>
          <w:sz w:val="22"/>
          <w:szCs w:val="22"/>
          <w:lang w:val="uk-UA" w:eastAsia="uk-UA"/>
        </w:rPr>
        <w:t>_</w:t>
      </w:r>
      <w:r>
        <w:rPr>
          <w:rFonts w:eastAsia="Calibri"/>
          <w:color w:val="000000"/>
          <w:sz w:val="22"/>
          <w:szCs w:val="22"/>
          <w:lang w:val="uk-UA" w:eastAsia="uk-UA"/>
        </w:rPr>
        <w:t>________</w:t>
      </w:r>
    </w:p>
    <w:p w14:paraId="152CBD81" w14:textId="637D5FB9" w:rsidR="007B54C3" w:rsidRDefault="007B54C3" w:rsidP="007B54C3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Чухно О.В.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706ECAF6" w14:textId="77777777" w:rsidR="007B54C3" w:rsidRDefault="007B54C3" w:rsidP="007B54C3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6F3D2A68" w14:textId="3D7A3AC0" w:rsidR="007B54C3" w:rsidRDefault="007B54C3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FC9ED29" w14:textId="31D27CDE" w:rsidR="000771EC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 w:rsidR="007B54C3">
        <w:rPr>
          <w:rFonts w:eastAsia="Calibri"/>
          <w:color w:val="000000"/>
          <w:sz w:val="22"/>
          <w:szCs w:val="22"/>
          <w:lang w:val="uk-UA" w:eastAsia="uk-UA"/>
        </w:rPr>
        <w:t>26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7B54C3">
        <w:rPr>
          <w:rFonts w:eastAsia="Calibri"/>
          <w:color w:val="000000"/>
          <w:sz w:val="22"/>
          <w:szCs w:val="22"/>
          <w:lang w:val="uk-UA" w:eastAsia="uk-UA"/>
        </w:rPr>
        <w:t xml:space="preserve">вересня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202</w:t>
      </w:r>
      <w:r w:rsidR="00F82EF2">
        <w:rPr>
          <w:rFonts w:eastAsia="Calibri"/>
          <w:color w:val="000000"/>
          <w:sz w:val="22"/>
          <w:szCs w:val="22"/>
          <w:lang w:val="uk-UA" w:eastAsia="uk-UA"/>
        </w:rPr>
        <w:t>5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 xml:space="preserve"> року</w:t>
      </w:r>
    </w:p>
    <w:sectPr w:rsidR="000771EC" w:rsidSect="00593C7D">
      <w:pgSz w:w="16838" w:h="11906" w:orient="landscape"/>
      <w:pgMar w:top="567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CB133" w14:textId="77777777" w:rsidR="00F743D8" w:rsidRDefault="00F743D8" w:rsidP="00593C7D">
      <w:r>
        <w:separator/>
      </w:r>
    </w:p>
  </w:endnote>
  <w:endnote w:type="continuationSeparator" w:id="0">
    <w:p w14:paraId="64E9DFC7" w14:textId="77777777" w:rsidR="00F743D8" w:rsidRDefault="00F743D8" w:rsidP="0059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5C4B" w14:textId="77777777" w:rsidR="00F743D8" w:rsidRDefault="00F743D8" w:rsidP="00593C7D">
      <w:r>
        <w:separator/>
      </w:r>
    </w:p>
  </w:footnote>
  <w:footnote w:type="continuationSeparator" w:id="0">
    <w:p w14:paraId="08DCAFAF" w14:textId="77777777" w:rsidR="00F743D8" w:rsidRDefault="00F743D8" w:rsidP="00593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390"/>
    <w:rsid w:val="00015DAF"/>
    <w:rsid w:val="00020F47"/>
    <w:rsid w:val="00053ABB"/>
    <w:rsid w:val="0005492E"/>
    <w:rsid w:val="000771EC"/>
    <w:rsid w:val="00090A0C"/>
    <w:rsid w:val="000C2604"/>
    <w:rsid w:val="000F54AD"/>
    <w:rsid w:val="00136662"/>
    <w:rsid w:val="00213990"/>
    <w:rsid w:val="0022083B"/>
    <w:rsid w:val="00262C70"/>
    <w:rsid w:val="003006AD"/>
    <w:rsid w:val="00352AB7"/>
    <w:rsid w:val="00376C56"/>
    <w:rsid w:val="003804B5"/>
    <w:rsid w:val="003C25EE"/>
    <w:rsid w:val="003D289F"/>
    <w:rsid w:val="003F5CFF"/>
    <w:rsid w:val="00406062"/>
    <w:rsid w:val="00450AF8"/>
    <w:rsid w:val="00476CC1"/>
    <w:rsid w:val="00482634"/>
    <w:rsid w:val="00490FBC"/>
    <w:rsid w:val="00497521"/>
    <w:rsid w:val="004C6FC6"/>
    <w:rsid w:val="004E3337"/>
    <w:rsid w:val="004F0028"/>
    <w:rsid w:val="00592699"/>
    <w:rsid w:val="00593C7D"/>
    <w:rsid w:val="005A5149"/>
    <w:rsid w:val="005D3D94"/>
    <w:rsid w:val="005E204F"/>
    <w:rsid w:val="006156F0"/>
    <w:rsid w:val="006435EF"/>
    <w:rsid w:val="0065449B"/>
    <w:rsid w:val="00693ECB"/>
    <w:rsid w:val="006A034D"/>
    <w:rsid w:val="006C309A"/>
    <w:rsid w:val="006C7F5B"/>
    <w:rsid w:val="0076064A"/>
    <w:rsid w:val="00770B35"/>
    <w:rsid w:val="007B54C3"/>
    <w:rsid w:val="007C2CC1"/>
    <w:rsid w:val="007D14A8"/>
    <w:rsid w:val="00822398"/>
    <w:rsid w:val="00864774"/>
    <w:rsid w:val="00867EEB"/>
    <w:rsid w:val="0088133E"/>
    <w:rsid w:val="008A6F03"/>
    <w:rsid w:val="008B1C39"/>
    <w:rsid w:val="008B33F9"/>
    <w:rsid w:val="008D7A14"/>
    <w:rsid w:val="00913F6A"/>
    <w:rsid w:val="009248BA"/>
    <w:rsid w:val="0094702E"/>
    <w:rsid w:val="00976389"/>
    <w:rsid w:val="009C203C"/>
    <w:rsid w:val="00A17460"/>
    <w:rsid w:val="00AC054B"/>
    <w:rsid w:val="00AF5A54"/>
    <w:rsid w:val="00B153F3"/>
    <w:rsid w:val="00B7540D"/>
    <w:rsid w:val="00B91A8B"/>
    <w:rsid w:val="00BB1C10"/>
    <w:rsid w:val="00BE3BB6"/>
    <w:rsid w:val="00BE3F03"/>
    <w:rsid w:val="00C34C68"/>
    <w:rsid w:val="00C452E0"/>
    <w:rsid w:val="00C503A8"/>
    <w:rsid w:val="00C815CD"/>
    <w:rsid w:val="00C84E8E"/>
    <w:rsid w:val="00C90575"/>
    <w:rsid w:val="00C977C8"/>
    <w:rsid w:val="00CA6DE9"/>
    <w:rsid w:val="00CD5155"/>
    <w:rsid w:val="00CE6620"/>
    <w:rsid w:val="00D32002"/>
    <w:rsid w:val="00D4615F"/>
    <w:rsid w:val="00D500A1"/>
    <w:rsid w:val="00D5028C"/>
    <w:rsid w:val="00D63C44"/>
    <w:rsid w:val="00DD2763"/>
    <w:rsid w:val="00DD42CA"/>
    <w:rsid w:val="00DD4E4F"/>
    <w:rsid w:val="00DE0C3C"/>
    <w:rsid w:val="00E12FF3"/>
    <w:rsid w:val="00E621FB"/>
    <w:rsid w:val="00E91EA6"/>
    <w:rsid w:val="00E92AB7"/>
    <w:rsid w:val="00E94EF0"/>
    <w:rsid w:val="00E9578E"/>
    <w:rsid w:val="00ED0F88"/>
    <w:rsid w:val="00F06138"/>
    <w:rsid w:val="00F17390"/>
    <w:rsid w:val="00F66780"/>
    <w:rsid w:val="00F743D8"/>
    <w:rsid w:val="00F81B31"/>
    <w:rsid w:val="00F82EF2"/>
    <w:rsid w:val="00FA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C5D4"/>
  <w15:docId w15:val="{78AE28C4-5929-433D-9F75-8EA379AE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39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739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50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822398"/>
    <w:rPr>
      <w:i/>
      <w:iCs/>
      <w:color w:val="0000FF"/>
    </w:rPr>
  </w:style>
  <w:style w:type="character" w:customStyle="1" w:styleId="st46">
    <w:name w:val="st46"/>
    <w:uiPriority w:val="99"/>
    <w:rsid w:val="00822398"/>
    <w:rPr>
      <w:i/>
      <w:i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503A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503A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3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nsmagluk</dc:creator>
  <cp:lastModifiedBy>User</cp:lastModifiedBy>
  <cp:revision>16</cp:revision>
  <cp:lastPrinted>2025-09-01T14:59:00Z</cp:lastPrinted>
  <dcterms:created xsi:type="dcterms:W3CDTF">2024-06-24T06:33:00Z</dcterms:created>
  <dcterms:modified xsi:type="dcterms:W3CDTF">2025-10-07T11:57:00Z</dcterms:modified>
</cp:coreProperties>
</file>